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34f885159e147f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13037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ŠIME BUDINIĆA - ZADAR</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3.402.240,37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3.704.654,76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3.347.982,20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3.854.442,71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149.787,95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81.459,88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129.474,32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81.459,88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129.474,32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158,9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27.201,71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279.262,27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1026,6</w:t>
            </w:r>
          </w:p>
        </w:tc>
      </w:tr>
    </w:tbl>
    <w:p>
      <w:pPr>
        <w:spacing w:before="0" w:after="0"/>
      </w:pPr>
    </w:p>
    <w:p>
      <w:r>
        <w:t xml:space="preserve">Manjak prihoda i primitaka predstavlja razliku između ukupnih prihoda i primitaka te ukupnih rashoda i izdataka u 2025. godini i ono se pojavljuje uslijed promjena u načinu knjiženja rashoda, odnosno bilo je potrebno obratiti pozornost na odredbe novog Pravilnika o proračunskom računovodstvu i Računskom planu budući da se knjigovodstvene evidencije u skladu s njima provode u poslovnim knjigama od 1. siječnja 2025. godine. Naime, uspoređujući prihode poslovanja između 2024. i 2025. godine došlo je do malih promjena glede visine prihoda (za svega nekih 8%), dok su rashodi poslovanja (rashodi poslovanja su uvećani za nekih 15% ; povećani su rashodi za prekovremeni rad budući da je sve teže naći adekvatne djelatnike pa postojeći djelatnici preuzimaju više obveza, više je djelatnika odlazilo za stručno usavršavanje - jedan od domara je išao na obuku za domara ložača, imali smo veći broj intervencija s električnom strujom i održavanjem postojeće opreme, imali smo potrebu za korištenjem usluga vanjskih suradnika pa je sukladno tome i veće izdvajanje za intelektualne usluge) i rashodi za nabavu nefinancijske imovine su uvećani (rashodi za nabavu nefinancijske imovine su uvećani za 58% budući da su se izvršila velika ulaganje u školsku kuhinju; nabavljene su dodatne inox police i ormari te veliki broj novih kuhinjskih uređaja, nabava oprema u sklopu raznih projekata, ulaganje u glazbenu opremu i školski razglas, rasvjetna tijela, nadzorni sustav).</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međunarodnih organizacija te institucija i tijela EU (šifre 6321 do 6324)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74,9</w:t>
            </w:r>
          </w:p>
        </w:tc>
      </w:tr>
    </w:tbl>
    <w:p>
      <w:pPr>
        <w:spacing w:before="0" w:after="0"/>
      </w:pPr>
    </w:p>
    <w:p>
      <w:r>
        <w:t xml:space="preserve">Zaprimljena sredstva se odnose na SHORE projekt koji je ujedno u međuvremenu i završio.</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2.769.621,93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2.937.012,22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106,0</w:t>
            </w:r>
          </w:p>
        </w:tc>
      </w:tr>
    </w:tbl>
    <w:p>
      <w:pPr>
        <w:spacing w:before="0" w:after="0"/>
      </w:pPr>
    </w:p>
    <w:p>
      <w:r>
        <w:t xml:space="preserve">Tekuće pomoći proračunskim korisnicima iz proračuna koji im nije nadležan su uvećani zbog većih uplata za plaće uslijed promjene osnovice.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47.573,60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5.729,28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w:t>
            </w:r>
          </w:p>
        </w:tc>
      </w:tr>
    </w:tbl>
    <w:p>
      <w:pPr>
        <w:spacing w:before="0" w:after="0"/>
      </w:pPr>
    </w:p>
    <w:p>
      <w:r>
        <w:t xml:space="preserve">Kapitalne pomoći proračunskim korisnicima iz proračuna koji im nije nadležan su umanjeni zbog nabave manjeg broja udžbenika u odnosu na 2024. godinu kada se obnavljao udžbenički fond.</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10.993,20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3.115,56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w:t>
            </w:r>
          </w:p>
        </w:tc>
      </w:tr>
    </w:tbl>
    <w:p>
      <w:pPr>
        <w:spacing w:before="0" w:after="0"/>
      </w:pPr>
    </w:p>
    <w:p>
      <w:r>
        <w:t xml:space="preserve">Tekući prijenosi između proračunskih korisnika istog proračuna su evidentirani uslijed projekta Školske sheme i PUN.</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70.699,95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24.795,30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35,1</w:t>
            </w:r>
          </w:p>
        </w:tc>
      </w:tr>
    </w:tbl>
    <w:p>
      <w:pPr>
        <w:spacing w:before="0" w:after="0"/>
      </w:pPr>
    </w:p>
    <w:p>
      <w:r>
        <w:t xml:space="preserve">Tekući prijenosi između proračunskih korisnika istog proračuna temeljem prijenosa EU su evidentirani uslijed projekta Školske sheme i PUN.</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11.581,72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149,2</w:t>
            </w:r>
          </w:p>
        </w:tc>
      </w:tr>
    </w:tbl>
    <w:p>
      <w:pPr>
        <w:spacing w:before="0" w:after="0"/>
      </w:pPr>
    </w:p>
    <w:p>
      <w:r>
        <w:t xml:space="preserve">Prihodi od pruženih usluga čine prihodi od najma dvorane i hola škole, prihodi od najma prostora škole te prihodi od prehrane zaposlenika i uvećani su zbog većih uplata korisnika dvorana i prostorija škole.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21.119,25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4434,0</w:t>
            </w:r>
          </w:p>
        </w:tc>
      </w:tr>
    </w:tbl>
    <w:p>
      <w:pPr>
        <w:spacing w:before="0" w:after="0"/>
      </w:pPr>
    </w:p>
    <w:p>
      <w:r>
        <w:t xml:space="preserve">Zaprimljena sredstva se najviše odnose na UNICEF projekt "Supporting protection and integration of children and families in migration in Croatia" i donacija namještaja.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10.425,86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4170,3</w:t>
            </w:r>
          </w:p>
        </w:tc>
      </w:tr>
    </w:tbl>
    <w:p>
      <w:pPr>
        <w:spacing w:before="0" w:after="0"/>
      </w:pPr>
    </w:p>
    <w:p>
      <w:r>
        <w:t xml:space="preserve">Zaprimljena sredstva se najviše odnose na UNICEF projekt "Supporting protection and integration of children and families in migration in Croatia".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10.693,39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4725,3</w:t>
            </w:r>
          </w:p>
        </w:tc>
      </w:tr>
    </w:tbl>
    <w:p>
      <w:pPr>
        <w:spacing w:before="0" w:after="0"/>
      </w:pPr>
    </w:p>
    <w:p>
      <w:r>
        <w:t xml:space="preserve">Kapitalne donacije su evidentirane u 2025. godini s donacijom namještaja, računalne opreme i knjiga.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423.316,37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533.956,24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126,1</w:t>
            </w:r>
          </w:p>
        </w:tc>
      </w:tr>
    </w:tbl>
    <w:p>
      <w:pPr>
        <w:spacing w:before="0" w:after="0"/>
      </w:pPr>
    </w:p>
    <w:p>
      <w:r>
        <w:t xml:space="preserve">Prihodi iz nadležnog proračuna za financiranje rashoda poslovanja 6711 su uvećani zbog većih uplata za pokriće rashoda poslovanja.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106.564,08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2449,7</w:t>
            </w:r>
          </w:p>
        </w:tc>
      </w:tr>
    </w:tbl>
    <w:p>
      <w:pPr>
        <w:spacing w:before="0" w:after="0"/>
      </w:pPr>
    </w:p>
    <w:p>
      <w:r>
        <w:t xml:space="preserve">Prihodi iz nadležnog proračuna za financiranje rashoda za nabavu nefinancijske imovine 6712 su uvećani budući da su tijekom 2025. godini imali viša uplata za pokriće rashoda za nabavu nefinancijske imovine u odnosu na 2024. godinu.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2.301.306,68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2.696.326,20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w:t>
            </w:r>
          </w:p>
        </w:tc>
      </w:tr>
    </w:tbl>
    <w:p>
      <w:pPr>
        <w:spacing w:before="0" w:after="0"/>
      </w:pPr>
    </w:p>
    <w:p>
      <w:r>
        <w:t xml:space="preserve">Plaće za redovan rad čine plaće za redovan rad djelatnika MZO-a, djelatnika Grada Zadra, pomoćnika u nastavi te administrativno računovodstvenog referenta i uvećani su zbog promjena u obračunu plaća te promjene u načinu knjiženja.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6.537,08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22.587,53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345,5</w:t>
            </w:r>
          </w:p>
        </w:tc>
      </w:tr>
    </w:tbl>
    <w:p>
      <w:pPr>
        <w:spacing w:before="0" w:after="0"/>
      </w:pPr>
    </w:p>
    <w:p>
      <w:r>
        <w:t xml:space="preserve">Plaće za prekovremeni rad su uvećani zbog težeg prolaska zamjena za djelatnika pa je sve više i više prekovremenih sati postojećih djelatnika.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posebne uvjete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16.927,19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23.354,77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w:t>
            </w:r>
          </w:p>
        </w:tc>
      </w:tr>
    </w:tbl>
    <w:p>
      <w:pPr>
        <w:spacing w:before="0" w:after="0"/>
      </w:pPr>
    </w:p>
    <w:p>
      <w:r>
        <w:t xml:space="preserve">Plaće za posebne uvjete su uvećani u odnosu na 2024. godinu sukladno povećanju plaće za redovan rad.</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383.587,12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452.014,79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w:t>
            </w:r>
          </w:p>
        </w:tc>
      </w:tr>
    </w:tbl>
    <w:p>
      <w:pPr>
        <w:spacing w:before="0" w:after="0"/>
      </w:pPr>
    </w:p>
    <w:p>
      <w:r>
        <w:t xml:space="preserve">Doprinosi za obvezno zdravstveno osiguranje čine doprinose za obvezno zdravstveno osiguranje djelatnika MZO-a, djelatnika Grada Zadra, pomoćnika u nastavi te administrativno računovodstvenog referenta i uvećani su zbog promjena u obračunu plaća te promjene u načinu knjiženja.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193,0</w:t>
            </w:r>
          </w:p>
        </w:tc>
      </w:tr>
    </w:tbl>
    <w:p>
      <w:pPr>
        <w:spacing w:before="0" w:after="0"/>
      </w:pPr>
    </w:p>
    <w:p>
      <w:r>
        <w:t xml:space="preserve">Stručno usavršavanje zaposlenika su uvećani zbog nešto većih uplaćenih kotizacija za seminare i tečajeve.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54,7</w:t>
            </w:r>
          </w:p>
        </w:tc>
      </w:tr>
    </w:tbl>
    <w:p>
      <w:pPr>
        <w:spacing w:before="0" w:after="0"/>
      </w:pPr>
    </w:p>
    <w:p>
      <w:r>
        <w:t xml:space="preserve">Ostale naknade troškova zaposlenima su umanjeni u odnosu na 2024. godinu.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49.143,97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39.357,85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w:t>
            </w:r>
          </w:p>
        </w:tc>
      </w:tr>
    </w:tbl>
    <w:p>
      <w:pPr>
        <w:spacing w:before="0" w:after="0"/>
      </w:pPr>
    </w:p>
    <w:p>
      <w:r>
        <w:t xml:space="preserve">Energija je umanjena budući da uslijed velike nabave krajem 2024. godine nije bilo potrebe za nabavom loživog ulja tijekom prve polovice 2025. godine.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999,59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2.852,54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285,4</w:t>
            </w:r>
          </w:p>
        </w:tc>
      </w:tr>
    </w:tbl>
    <w:p>
      <w:pPr>
        <w:spacing w:before="0" w:after="0"/>
      </w:pPr>
    </w:p>
    <w:p>
      <w:r>
        <w:t xml:space="preserve">Materijali i dijelovi za tekuće i investicijsko održavanje su uvećani zbog većeg broja nabavki.</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w:t>
            </w:r>
          </w:p>
        </w:tc>
      </w:tr>
    </w:tbl>
    <w:p>
      <w:pPr>
        <w:spacing w:before="0" w:after="0"/>
      </w:pPr>
    </w:p>
    <w:p>
      <w:r>
        <w:t xml:space="preserve">Sitni inventar je uvećan u odnosu na 2024. godinu zbog nabavki tijekom nekih projekata.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174,0</w:t>
            </w:r>
          </w:p>
        </w:tc>
      </w:tr>
    </w:tbl>
    <w:p>
      <w:pPr>
        <w:spacing w:before="0" w:after="0"/>
      </w:pPr>
    </w:p>
    <w:p>
      <w:r>
        <w:t xml:space="preserve">Službena, radna i zaštitna odjeća i obuća je uvećana u odnosu na 2024. godinu uslijed velike nabave odjeća i obuća za kuharice.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6.930,54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112,2</w:t>
            </w:r>
          </w:p>
        </w:tc>
      </w:tr>
    </w:tbl>
    <w:p>
      <w:pPr>
        <w:spacing w:before="0" w:after="0"/>
      </w:pPr>
    </w:p>
    <w:p>
      <w:r>
        <w:t xml:space="preserve">Usluge telefona, pošte i prijevoza  su uvećani zbog većih rashoda telekomunikacije i ostalih usluga za prijevoz u sklopu projekta SHORE.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36.524,66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1606,3</w:t>
            </w:r>
          </w:p>
        </w:tc>
      </w:tr>
    </w:tbl>
    <w:p>
      <w:pPr>
        <w:spacing w:before="0" w:after="0"/>
      </w:pPr>
    </w:p>
    <w:p>
      <w:r>
        <w:t xml:space="preserve">Usluge tekućeg i investicijskog održavanje su uvećani uslijed hitnih intervencija sa električnim instalacijama i održavanjem opreme.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w:t>
            </w:r>
          </w:p>
        </w:tc>
      </w:tr>
    </w:tbl>
    <w:p>
      <w:pPr>
        <w:spacing w:before="0" w:after="0"/>
      </w:pPr>
    </w:p>
    <w:p>
      <w:r>
        <w:t xml:space="preserve">Usluge promidžbe i informiranja su umanjeni u odnosu na 2024. godine uslijed manjeg broja objava.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9.255,63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w:t>
            </w:r>
          </w:p>
        </w:tc>
      </w:tr>
    </w:tbl>
    <w:p>
      <w:pPr>
        <w:spacing w:before="0" w:after="0"/>
      </w:pPr>
    </w:p>
    <w:p>
      <w:r>
        <w:t xml:space="preserve">Zdravstvene usluge su umanjene u odnosu na 2024. godinu zbog manje obavljenih sistematskih pregleda.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19.569,21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316,6</w:t>
            </w:r>
          </w:p>
        </w:tc>
      </w:tr>
    </w:tbl>
    <w:p>
      <w:pPr>
        <w:spacing w:before="0" w:after="0"/>
      </w:pPr>
    </w:p>
    <w:p>
      <w:r>
        <w:t xml:space="preserve">Intelektualne i osobne usluge su uvećane u odnosu na 2024. godinu uslijed nešto većeg broja ugovora o djelu i sklopljenog ugovora o autorskom honoraru te potrebe za određenim uslugama.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24.793,80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14.621,22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59,0</w:t>
            </w:r>
          </w:p>
        </w:tc>
      </w:tr>
    </w:tbl>
    <w:p>
      <w:pPr>
        <w:spacing w:before="0" w:after="0"/>
      </w:pPr>
    </w:p>
    <w:p>
      <w:r>
        <w:t xml:space="preserve">Ostale usluge su umanjene zbog nešto manje potrebe za određenim uslugama, konkretno manje su usluge zaštite.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64,5</w:t>
            </w:r>
          </w:p>
        </w:tc>
      </w:tr>
    </w:tbl>
    <w:p>
      <w:pPr>
        <w:spacing w:before="0" w:after="0"/>
      </w:pPr>
    </w:p>
    <w:p>
      <w:r>
        <w:t xml:space="preserve">Naknade troškova osobama izvan radnog odnosa su umanjeni u odnosu na 2024. godinu.</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74,0</w:t>
            </w:r>
          </w:p>
        </w:tc>
      </w:tr>
    </w:tbl>
    <w:p>
      <w:pPr>
        <w:spacing w:before="0" w:after="0"/>
      </w:pPr>
    </w:p>
    <w:p>
      <w:r>
        <w:t xml:space="preserve">Naknade za rad predstavničkih i izvršnih tijela, povjerenstva i slično se odnose na povjerenstvo za županijska natjecanja i smotri te povjerenstvo za stručne ispite iz geografije te su umanjeni su u odnosu na 2024. godinu.</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Članarine su uvećane u odnosu na 2024. godinu zbog povećanja pojedinačnih članarina raznim udrugama.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w:t>
            </w:r>
          </w:p>
        </w:tc>
      </w:tr>
    </w:tbl>
    <w:p>
      <w:pPr>
        <w:spacing w:before="0" w:after="0"/>
      </w:pPr>
    </w:p>
    <w:p>
      <w:r>
        <w:t xml:space="preserve">Pristojbe i naknade su umanjene u uvećane na 2024. godinu budući da je škola tijekom 2024. godine imala više obveznih uplata sudskih pristojbi uslijed sudskih tužbi.</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6.619,80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225,9</w:t>
            </w:r>
          </w:p>
        </w:tc>
      </w:tr>
    </w:tbl>
    <w:p>
      <w:pPr>
        <w:spacing w:before="0" w:after="0"/>
      </w:pPr>
    </w:p>
    <w:p>
      <w:r>
        <w:t xml:space="preserve">Ostali nespomenuti rashodi su uvećani u odnosu na 2024. godinu uslijed nepredviđenih troškova i organizacije događanja.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Zatezne kamate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w:t>
            </w:r>
          </w:p>
        </w:tc>
      </w:tr>
    </w:tbl>
    <w:p>
      <w:pPr>
        <w:spacing w:before="0" w:after="0"/>
      </w:pPr>
    </w:p>
    <w:p>
      <w:r>
        <w:t xml:space="preserve">Zatezne kamate su umanjene u odnosu na 2024. godinu budući da su računi uglavnom plaćeni do roka dospijeća.</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22.050,96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49.618,06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225,0</w:t>
            </w:r>
          </w:p>
        </w:tc>
      </w:tr>
    </w:tbl>
    <w:p>
      <w:pPr>
        <w:spacing w:before="0" w:after="0"/>
      </w:pPr>
    </w:p>
    <w:p>
      <w:r>
        <w:t xml:space="preserve">Uredska oprema i namještaj su uvećani u odnosu na 2024. godinu uslijed velikog ulaganja u školsku kuhinju.</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28.222,75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573,2</w:t>
            </w:r>
          </w:p>
        </w:tc>
      </w:tr>
    </w:tbl>
    <w:p>
      <w:pPr>
        <w:spacing w:before="0" w:after="0"/>
      </w:pPr>
    </w:p>
    <w:p>
      <w:r>
        <w:t xml:space="preserve">Sportska i glazbena oprema su uvećani u odnosu na 2024. godinu uslijed velikog ulaganja u glazbenu opremu (nabava novih instrumenata) i školski razglas.</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4.864,12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26.907,42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553,2</w:t>
            </w:r>
          </w:p>
        </w:tc>
      </w:tr>
    </w:tbl>
    <w:p>
      <w:pPr>
        <w:spacing w:before="0" w:after="0"/>
      </w:pPr>
    </w:p>
    <w:p>
      <w:r>
        <w:t xml:space="preserve">Uređaji, strojevi i oprema za ostale namjene su uvećani u odnosu na 2024. uslijed nabavke opreme u sklopu projekta i velikog ulaganja u školsku kuhinju.</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49.091,23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w:t>
            </w:r>
          </w:p>
        </w:tc>
      </w:tr>
    </w:tbl>
    <w:p>
      <w:pPr>
        <w:spacing w:before="0" w:after="0"/>
      </w:pPr>
    </w:p>
    <w:p>
      <w:r>
        <w:t xml:space="preserve">Knjige su umanjene u odnosu na 2024. godinu kada se obnavljao udžbenički fond nakon godina upotrebe.</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27.201,71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279.262,27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1026,6</w:t>
            </w:r>
          </w:p>
        </w:tc>
      </w:tr>
    </w:tbl>
    <w:p>
      <w:pPr>
        <w:spacing w:before="0" w:after="0"/>
      </w:pPr>
    </w:p>
    <w:p>
      <w:r>
        <w:t xml:space="preserve">Manjak prihoda i primitaka predstavlja razliku između ukupnih prihoda i primitaka te ukupnih rashoda i izdataka u 2025. godini i ono se pojavljuje uslijed promjena u načinu knjiženja rashoda, odnosno bilo je potrebno obratiti pozornost na odredbe novog Pravilnika o proračunskom računovodstvu i Računskom planu budući da se knjigovodstvene evidencije u skladu s njima provode u poslovnim knjigama od 1. siječnja 2025. godine. Npr. kontinuirani rashodi budućih poslovanja preko kojeg se nekoć evidentirala plaća za mjesec prosinac tekuće godine se ukinuo pa je plaća zaposlenicima, koja je inače najveći rashod poslovanja, za prosinac 2025. godine evidentirana kao rashod u svom ukupnom iznosu (samo plaća MZO-a zajedno s troškovima prijevoza za prosinac 2025. godine iznosi 269.633,28 EUR).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 preneseni (šifre 92221+92222-92211-92212)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MP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5.987,55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Sukladno Okružnici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2025. navedeno je da je došlo od promjene u načinu evidentiranja projekata EU, odnosno dana je uputa da korisnici projekata koji je započeo tijekom 2024. godine i završio u 2025. godini, korigiraju utvrđeni rezultat za 2024. godinu koji je prenesen u 2025. godinu na način da se korigira višak te iskaže obveza za primljeni predujam. Uzimajući u obzir navedeno, izvšena je korekcija rezultata za 3.973,45 EUR za projekt SHORE (višak iz 2024. godine) , odnosno manjak i primitaka - preneseni sada iznosi 5.987,55 EUR.</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0211 do 0214 - 02921)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721.894,25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703.696,56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w:t>
            </w:r>
          </w:p>
        </w:tc>
      </w:tr>
    </w:tbl>
    <w:p>
      <w:pPr>
        <w:spacing w:before="0" w:after="0"/>
      </w:pPr>
    </w:p>
    <w:p>
      <w:r>
        <w:t xml:space="preserve">Poslovni objekti i ostali građevinski objekti su umanjeni u 2025. godini uslijed ispravka vrijednosti.</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79.849,02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145.348,28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182,0</w:t>
            </w:r>
          </w:p>
        </w:tc>
      </w:tr>
    </w:tbl>
    <w:p>
      <w:pPr>
        <w:spacing w:before="0" w:after="0"/>
      </w:pPr>
    </w:p>
    <w:p>
      <w:r>
        <w:t xml:space="preserve">Postrojenja i oprema su uvećane uslijed nabava nove opreme tijekom 2025. godine, donacije te prijenosa vlasništva, a dijelom rashodovano i ispravljena vrijednost.</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114.534,55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120.859,57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105,5</w:t>
            </w:r>
          </w:p>
        </w:tc>
      </w:tr>
    </w:tbl>
    <w:p>
      <w:pPr>
        <w:spacing w:before="0" w:after="0"/>
      </w:pPr>
    </w:p>
    <w:p>
      <w:r>
        <w:t xml:space="preserve">Knjige su uvećane u odnosu na 2024. godine.</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50.505,02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53.554,90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106,0</w:t>
            </w:r>
          </w:p>
        </w:tc>
      </w:tr>
    </w:tbl>
    <w:p>
      <w:pPr>
        <w:spacing w:before="0" w:after="0"/>
      </w:pPr>
    </w:p>
    <w:p>
      <w:r>
        <w:t xml:space="preserve">Sitni inventar je uvećan budući da je tijekom 2025. nabavljeno sitnog inventara.</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203,9</w:t>
            </w:r>
          </w:p>
        </w:tc>
      </w:tr>
    </w:tbl>
    <w:p>
      <w:pPr>
        <w:spacing w:before="0" w:after="0"/>
      </w:pPr>
    </w:p>
    <w:p>
      <w:r>
        <w:t xml:space="preserve">Ostala potraživanja 129 koja se najviše odnose se na bolovanja koje HZZO refundira (bolovanje preko 42 dana, njega djeteta) su uvećana budući da je bilo više dugotrajnih bolovanja zaposlenika.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252.592,07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pomoći proračunskim korisnicima iz proračuna koji im nije nadležan se odnose na potraživanja od MZO za plaće zaposlenika, naknade prijevoza te materijalna prava zaposlenika koja nisu podmirena prije ili na dan 31.12.2025.</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225,6</w:t>
            </w:r>
          </w:p>
        </w:tc>
      </w:tr>
    </w:tbl>
    <w:p>
      <w:pPr>
        <w:spacing w:before="0" w:after="0"/>
      </w:pPr>
    </w:p>
    <w:p>
      <w:r>
        <w:t xml:space="preserve">Potraživanja za upravne i administrativne pristojbe, pristojbe po posebnim propisima i naknade čine potraživanje od učenika za prehranu u produženom boravku i uvećani su odnosu na 2024. godinu budući da velik broj potraživanja nije podmiren prije ili na dan 31.12.2025.</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w:t>
            </w:r>
          </w:p>
        </w:tc>
      </w:tr>
    </w:tbl>
    <w:p>
      <w:pPr>
        <w:spacing w:before="0" w:after="0"/>
      </w:pPr>
    </w:p>
    <w:p>
      <w:r>
        <w:t xml:space="preserve">Potraživanja za prihode od prodaje proizvoda i robe te pruženih usluge i za povrat po protestiranim jamstvima čine potraživanja za korištenje prostorija škole (najam dvorana, hola, učionica) potraživanja od zaposlenika za prehranu i umanjena su u odnosu na 2024. godinu budući da je veći broj potraživanja podmiren prije ili na dan 31.12.2025.</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49.724,26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45.507,03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91,5</w:t>
            </w:r>
          </w:p>
        </w:tc>
      </w:tr>
    </w:tbl>
    <w:p>
      <w:pPr>
        <w:spacing w:before="0" w:after="0"/>
      </w:pPr>
    </w:p>
    <w:p>
      <w:r>
        <w:t xml:space="preserve">Potraživanja proračunskih korisnika za sredstva uplaćena u nadležni proračun budući da smo prema uputi Grada Zadra od siječnja 2024. godine zatvorili vlastiti žiro račun i sredstva prebacili na žiro račun Grada Zadra. </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263.941,62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315.366,69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w:t>
            </w:r>
          </w:p>
        </w:tc>
      </w:tr>
    </w:tbl>
    <w:p>
      <w:pPr>
        <w:spacing w:before="0" w:after="0"/>
      </w:pPr>
    </w:p>
    <w:p>
      <w:r>
        <w:t xml:space="preserve">Obveze za rashode poslovanja su uvećani u odnosu na 2024. godinu zbog povećanih rashoda za zaposlene i materijalnih rashoda (ili većeg broja obveza) te financijskih rashoda koji nisu podmireni prije ili na dan 31.12.2025. </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27.114,84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w:t>
            </w:r>
          </w:p>
        </w:tc>
      </w:tr>
    </w:tbl>
    <w:p>
      <w:pPr>
        <w:spacing w:before="0" w:after="0"/>
      </w:pPr>
    </w:p>
    <w:p>
      <w:r>
        <w:t xml:space="preserve">Obveze za nabavu nefinancijske imovine su umanjeni u odnosu na 2024. godinu budući da je većina obaveza podmirena prije ili na dan 31.12.2025.</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19.829,48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1240,4</w:t>
            </w:r>
          </w:p>
        </w:tc>
      </w:tr>
    </w:tbl>
    <w:p>
      <w:pPr>
        <w:spacing w:before="0" w:after="0"/>
      </w:pPr>
    </w:p>
    <w:p>
      <w:r>
        <w:t xml:space="preserve">Ostale tekuće obveze i obveze za predujmove, depozite, jamčevne pologe i tuđe prihode se odnosi na zaprimljena novčana jamstva dobavljača, neiskorištena sredstva od MZO-a za prehranu te bolovanja HZZO. Naime, slijedom promjena u Računskom planu (dodani su osnovni računi iz skupine 27) došlo je do promjene u načinu evidentiranja  i iskazivanja u obrascu u iskazanim podacima u okviru podskupine 239 Ostale tekuće obveze (smanjenje u promatranom razdoblju u iznosu od 1.598,64 EUR) i skupine 27 Obveze za predujmove, depozite, jamčevne pologe i tuđe prihode (povećanje u promatranom razdoblju za 1.598,64 EUR) u stanju 1. siječnja. </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-2.014,10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-285.249,82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Nakon sučeljavanja prihoda i primitaka sa rashodima i izdacima, prebijanja računa viškova i manjkova po istovrsnim kategorijama te obvezne korekcije rezultata za kapitalne pomoći od međunarodnih organizacija, kapitalne pomoći proračunskim korisnicima iz proračuna koji im nije nadležan, kapitalne donacije te prihodi iz nadležnog proračuna za financiranje rashoda za nabavu nefinancijske imovine, rezultat 2025. godine je manjak u iznosu od 285.249,82 EUR, odnosno manjak prihoda poslovanja u iznosu od 276.862,70 EUR te manjak prihoda od nefinancijske imovine u iznosu od 8.387,12 EUR. Do toga je došlo uslijed promjena u načinu knjiženja rashoda, odnosno kontinuirani rashodi budućih poslovanja preko kojeg se nekoć evidentirali rashodi za prosinac se ukinuo.</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262.385,55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5415,0</w:t>
            </w:r>
          </w:p>
        </w:tc>
      </w:tr>
    </w:tbl>
    <w:p>
      <w:pPr>
        <w:spacing w:before="0" w:after="0"/>
      </w:pPr>
    </w:p>
    <w:p>
      <w:r>
        <w:t xml:space="preserve">Obračunati prihodi poslovanja se odnose na potraživanja za pomoći proračunskim korisnicima iz proračuna koji im nije nadležan, potraživanja za upravne i administrativne pristojbe, pristojbe po posebnim propisima i naknade te potraživanja za prihode od prodaje proizvoda i robe te pruženih usluge i za povrat po protestiranim jamstvima i uvećani su budući da uvećanim navedenim potraživanjima uvećavamo i obračunate prihode poslovanja.</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w:t>
            </w:r>
          </w:p>
        </w:tc>
      </w:tr>
    </w:tbl>
    <w:p>
      <w:pPr>
        <w:spacing w:before="0" w:after="0"/>
      </w:pPr>
    </w:p>
    <w:p>
      <w:r>
        <w:t xml:space="preserve">Izvanbilančni zapisi - aktiv 991 i izvanbilančni zapisi - pasiv 996 su umanjeni za iznos od 257,50 EUR, odnosno sukladno novom Pravilniku, uvedena je obaveza evidentiranja ispravka vrijednosti za tuđu imovinu dobivenu na korištenje koja se vodi na izvanbilančnom zapisu.</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nespomenute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Sukladno već navedenoj promjeni stanja 1. siječnja u pogledu računa 239 i 27, kao i korekciji iskazanih analitičkih podataka iz prethodne godine glede računa 23954, došlo je i do promjena u obveznim analitičkim podacima u stanju 01. siječnja. Stanje Ostale nespomenute obveze u iznosu su u iznosu od 100,00 EUR.</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jamčevne pologe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w:t>
            </w:r>
          </w:p>
        </w:tc>
      </w:tr>
    </w:tbl>
    <w:p>
      <w:pPr>
        <w:spacing w:before="0" w:after="0"/>
      </w:pPr>
    </w:p>
    <w:p>
      <w:r>
        <w:t xml:space="preserve">Sukladno već navedenoj promjeni stanja 1. siječnja u pogledu računa 239 i 27, došlo je i do promjena u obveznim analitičkim podacima u stanju 01. siječnja. Stanje Obveze za rashode poslovanja - nedospjele su umanjene za 1.598,64 EUR, Obveze za jamčevne pologe su u iznosu od 1.000,00 EUR i Obveze proračunskih korisnika za povrat u proračun - bolovanje HZZO u iznosu od 598,64 EUR.</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Riječ je o neiskorištenim sredstva od MZO-a za prehranu.</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672,0</w:t>
            </w:r>
          </w:p>
        </w:tc>
      </w:tr>
    </w:tbl>
    <w:p>
      <w:pPr>
        <w:spacing w:before="0" w:after="0"/>
      </w:pPr>
    </w:p>
    <w:p>
      <w:r>
        <w:t xml:space="preserve">Sukladno već navedenoj promjeni stanja 1. siječnja u pogledu računa 239 i 27, došlo je i do promjena u obveznim analitičkim podacima u stanju 01. siječnja. Stanje Obveze za rashode poslovanja - nedospjele su umanjene za 1.598,64 EUR, Obveze za jamčevne pologe su u iznosu od 1.000,00 EUR i Obveze proračunskih korisnika za povrat u proračun - bolovanje HZZO u iznosu od 598,64 EUR.</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Sukladno Okružnici o sastavljanju, konsolidaciji i predaji financijskih izvještaja proračuna, proračunskih i izvanproračunskih korisnika državnog proračuna te proračunskih i izvanproračunskih korisnika proračuna jedinica lokalne i područne (regionalne) samouprave za razdoblje od 1. siječnja do 31. prosinca 2025. navedeno je da je došlo od promjene u načinu evidentiranja projekata EU, odnosno dana je uputa da korisnici projekata koji je započeo tijekom 2024. godine i završio u 2025. godini, korigiraju utvrđeni rezultat za 2024. godinu koji je prenesen u 2025. godinu na način da se korigira višak te iskaže obveza za primljeni predujam. Uzimajući u obzir navedeno, izvšena je korekcija rezultata za 3.973,45 EUR za projekt SHORE (višak iz 2024. godine)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Predškolsko i osnovno obrazovanje (šifre 0911+0912)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3.189.038,16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3.709.825,05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r>
        <w:t xml:space="preserve">Osnovno obrazovanje 0912 je u odnosu na 2024. godinu uvećan zbog povećanja plaća, poskupljenja cijena proizvoda, roba i usluga, većih nabavki, zatraženih usluga te promjena u načinu knjiženja rashoda za prosinac 2025. godine (npr. ukidanje kontinuiranog rashodi budućih poslovanja preko kojeg se nekoć evidentirala plaća).</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240.403,92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274.091,98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w:t>
            </w:r>
          </w:p>
        </w:tc>
      </w:tr>
    </w:tbl>
    <w:p>
      <w:pPr>
        <w:spacing w:before="0" w:after="0"/>
      </w:pPr>
    </w:p>
    <w:p>
      <w:r>
        <w:t xml:space="preserve">Dodatne usluge u obrazovanju 096 je u odnosu na 2024. godinu uvećan zbog veće potrošnje i povećanih troškova namirnica.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21.743,31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103.916,06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477,9</w:t>
            </w:r>
          </w:p>
        </w:tc>
      </w:tr>
    </w:tbl>
    <w:p>
      <w:pPr>
        <w:spacing w:before="0" w:after="0"/>
      </w:pPr>
    </w:p>
    <w:p>
      <w:r>
        <w:t xml:space="preserve">Bilo je promjena u vrijednosti i obujmu imovine i obveza u 2025. godini, odnosno riječ je o povećanju obujma proizvedene dugotrajne imovine (eksponati za Park znanosti) prema Primopredajni zapisnik Grada Zadra u sklopu projekta STEM „Jačanje STEM vještina u osnovnim školama u Zadarskoj županiji - STEM County“ u iznosu od 21.743,31 EUR te smanjenju u vrijednosti proizvedene dugotrajne imovine u iznosu od 103.916,06 EUR uslijed provedenog ispravka vrijednosti u 2025. godini.</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292.655,10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1. siječnja iznosi 292.655,10 EUR te se odnose na DRŽAVNI PRORAČUN (CENTRALNI OBRAČUN PLAĆA) u ukupnom iznosu od 212.437,58 EUR (obveze za zaposlene 208.716,22 EUR, obveze za materijalne rashode 3.122,72 EUR, obveze proračunskih korisnika za povrat u proračun 598,64 EUR), GRAD ZADAR  u ukupnom iznosu od 46.838,31 EUR (obveze za zaposlene 12.926,76 EUR, obveze za materijalne rashode 11.459,97 EUR, obveze za nabavu proizvedene dugotrajne imovine 22.451,58 EUR) te OSTALO + EU PROJEKTI GRADA ZADRA u ukupnom iznosu od 33.379,21 EUR (obveze za zaposlene 14.368,47 EUR, obveze za materijalne rashode 13.247,48 EUR,  ostale tekuće obveze 100,00 EUR,  obveze za nabavu proizvedene dugotrajne imovine 4.663,26 EUR, obveze za depozite i jamčevne pologe 1.000,00 EUR).</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3.777.352,43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obveza u izvještajnom razdoblju iznosi 3.777.352,43 EUR te se odnose na DRŽAVNI PRORAČUN (CENTRALNI OBRAČUN PLAĆA) u ukupnom iznosu od 2.734.419,74 EUR (obveze za zaposlene 2.692.598,49 EUR, obveze za materijalne rashode 34.534,35 EUR, obveze proračunskih korisnika za povrat u proračun 7.286,90 EUR), GRAD ZADAR u ukupnom iznosu od 466.343,09 EUR (obveze za zaposlene 174.838,82 EUR, obveze za materijalne rashode 151.218,59 EUR, obveze za financijske rashode 2,96 EUR, obveze za naknade građanima i kućanstvima 56.170,22 EUR, obveze za nabavu proizvedene dugotrajne imovine 72.112,50 EUR, obveze za dodatna ulaganja na nefinancijskoj imovini 12.000,00) te OSTALO + EU PROJEKTI GRADA ZADRA u ukupnom iznosu od 576.589,60 EUR (obveze za zaposlene 222.448,10 EUR, obveze za materijalne rashode 249.166,57 EUR, obveze za financijske rashode 4,94 EUR, obveze za naknade građanima i kućanstvima 40.367,54 EUR, ostale tekuće obveze 3.026,28 EUR, obveze za nabavu proizvedene dugotrajne imovine 39.741,82 EUR, obveze za dodatna ulaganja na nefinancijskoj imovini 190,00 EUR, obveze za depozite i jamčevne pologe 2.000,00 EUR, obveze za EU predujmove 3.973,45 EUR, obveze proračunskih korisnika za povrat u proračun 15.670,90 EUR).</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3.734.419,41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Podmirene obveze u izvještajnom razdoblju iznosi 3.734.419,41 EUR te se odnosi na DRŽAVNI PRORAČUN (CENTRALNI OBRAČUN PLAĆA) u ukupnom iznosu od 2.706.110,15 EUR (obveze za zaposlene 2.671.729,29 EUR, obveze za materijalne rashode 34.380,86 EUR, obveze proračunskih korisnika za povrat u proračun 3.862,72 EUR), GRAD ZADAR u ukupnom iznosu od 475.085,53 EUR (obveze za zaposlene 169.350,80 EUR, obveze za materijalne rashode 142.997,47 EUR, obveze za financijske rashode 2,96 EUR, obveze za naknade građanima i kućanstvima 56.170,22 EUR, obveze za nabavu proizvedene dugotrajne imovine 94.564,08 EUR, obveze za dodatna ulaganja na nefinancijskoj imovini 12.000,00 EUR) te OSTALO + EU PROJEKTI GRADA ZADRA u ukupnom iznosu od 549.361,01 EUR (obveze za zaposlene 215.967,68 EUR, obveze za materijalne rashode 238.858,69 EUR, obveze za naknade građanima i kućanstvima 40.367,54 EUR, ostale tekuće obveze 3.126,28,00 EUR, obveze za nabavu proizvedene dugotrajne imovine 44.013,13 EUR, obveze za dodatna ulaganja na nefinancijskoj imovini 190,00 EUR obveze za depozite i jamčevne pologe 1.000,00 EUR, obveze za EU predujmove 3.973,45 EUR, obveze proračunskih korisnika za povrat u proračun 1.864,24 EUR).</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335.588,12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kraju izvještajnog razdoblja iznosi 335.588,12 EUR te se odnosi na DRŽAVNI PRORAČUN (CENTRALNI OBRAČUN PLAĆA) u ukupnom iznosu od 236.884,45 EUR (obveze za zaposlene 229.585,42 EUR, obveze za materijalne rashode 3.276,21 EUR, obveze proračunskih korisnika za povrat u proračun 4.022,82 EUR), GRAD ZADAR u ukupnom iznosu od 38.095,87 EUR (obveze za zaposlene 18.414,78 EUR, obveze za materijalne rashode 19.681,09 EUR) te OSTALO + EU PROJEKTI GRADA ZADRA u ukupnom iznosu od 60.607,80 EUR (obveze za zaposlene 20.848,89 EUR, obveze za materijalne rashode 23.555,36 EUR, obveze za financijske rashode 4,94 EUR, obveze za nabavu proizvedene dugotrajne imovine 391,95 EUR, obveze za depozite i jamčevne pologe 2.000,00 EUR, obveze proračunskih korisnika za povrat u proračun 13.806,66 EUR).</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5.374,11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iznosi 5.374,11 EUR i obuhvaća obaveze za rashode za koje su zaprimljeni računi poslije roka dospijeća, nisu dostavljeni nadležnom proračunu te račune za koje nadležni proračun nije doznačio sredstva. Računi su podmireni početkom siječnja.</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330.214,01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nedospjelih obveza na kraju izvještajnog razdoblja iznosi 330.214,01 EUR te se odnosi na obveze za zaposlene 268.849,09 EUR, obveze za materijalne rashode 41.366,24 EUR, obveze za nabavu proizvedene dugotrajne imovine 169,20 EUR te obveze za predujmove, depozite, jamčevne pologe i tuđe prihod 19.829,48 EUR (obveze za jamčevne pologe 2.000,00 EUR, obveze proračunskih korisnika za povrat u proračun 13.806,66 EUR, obveze proračunskih korisnika za povrat u proračun - bolovanje preko HZZO-a 4.022,82 EUR).</w:t>
      </w:r>
    </w:p>
    <w:p/>
    <w:p>
      <w:pPr>
        <w:jc w:val="center"/>
        <w:pStyle w:val="Normal"/>
        <w:spacing w:line="240" w:lineRule="auto"/>
        <w:keepNext/>
      </w:pPr>
      <w:r>
        <w:rPr>
          <w:sz w:val="28"/>
          <w:rFonts w:ascii="Times New Roman" w:hAnsi="Times New Roman"/>
        </w:rPr>
        <w:t xml:space="preserve">Bilješka 70.</w:t>
      </w:r>
    </w:p>
    <w:p>
      <w:pPr>
        <w:jc w:val="both"/>
        <w:pStyle w:val="Normal"/>
        <w:spacing w:line="240" w:lineRule="auto"/>
      </w:pPr>
      <w:r>
        <w:rPr>
          <w:b/>
          <w:sz w:val="24"/>
          <w:rFonts w:ascii="Times New Roman" w:hAnsi="Times New Roman"/>
        </w:rPr>
        <w:t xml:space="preserve">EU izvještaj</w:t>
      </w:r>
    </w:p>
    <w:p>
      <w:r>
        <w:t xml:space="preserve">Riječ je o projektu SHORE (Obzor IF 510) koji je započeo 2014. godine i završio 2025. godine. Tijekom 2024. godine je uplaćeno 80% sredstava, a ostatak tijekom 2025. godine  Zbog promjene u načinu evidentiranja projekata EU napravljena je korekcije rezultata od 2024. godine za 3.973,45 EUR, a evidentiran je kao prihod u 2025. godini. Rashodi se uglavnom odnose na službena putovanja, usluge prijevoza i opreme vezane za rad u sklopu tog projekta.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288d58b23b1943ee" /></Relationships>
</file>